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B62F5">
      <w:pPr>
        <w:spacing w:line="360" w:lineRule="auto"/>
        <w:jc w:val="center"/>
        <w:rPr>
          <w:rFonts w:ascii="宋体" w:hAnsi="宋体"/>
          <w:b/>
          <w:sz w:val="32"/>
          <w:szCs w:val="21"/>
        </w:rPr>
      </w:pPr>
      <w:r>
        <w:rPr>
          <w:rFonts w:ascii="宋体" w:hAnsi="宋体" w:hint="eastAsia"/>
          <w:b/>
          <w:sz w:val="32"/>
          <w:szCs w:val="21"/>
        </w:rPr>
        <w:t>统编版本语文高中选择性必修下册《拟行路难（其四）》</w:t>
      </w:r>
      <w:r>
        <w:rPr>
          <w:rFonts w:ascii="宋体" w:hAnsi="宋体"/>
          <w:b/>
          <w:sz w:val="32"/>
          <w:szCs w:val="21"/>
        </w:rPr>
        <w:t>教学设计</w:t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"/>
        <w:gridCol w:w="2677"/>
        <w:gridCol w:w="971"/>
        <w:gridCol w:w="1077"/>
        <w:gridCol w:w="1123"/>
        <w:gridCol w:w="1059"/>
        <w:gridCol w:w="753"/>
        <w:gridCol w:w="895"/>
      </w:tblGrid>
      <w:tr>
        <w:tblPrEx>
          <w:tblW w:w="929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21"/>
          <w:jc w:val="center"/>
        </w:trPr>
        <w:tc>
          <w:tcPr>
            <w:tcW w:w="737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课题 </w:t>
            </w:r>
          </w:p>
        </w:tc>
        <w:tc>
          <w:tcPr>
            <w:tcW w:w="2677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《拟行路难（其四）》</w:t>
            </w:r>
          </w:p>
        </w:tc>
        <w:tc>
          <w:tcPr>
            <w:tcW w:w="971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单元</w:t>
            </w:r>
          </w:p>
        </w:tc>
        <w:tc>
          <w:tcPr>
            <w:tcW w:w="1077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1123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</w:t>
            </w:r>
          </w:p>
        </w:tc>
        <w:tc>
          <w:tcPr>
            <w:tcW w:w="1059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语文</w:t>
            </w:r>
          </w:p>
        </w:tc>
        <w:tc>
          <w:tcPr>
            <w:tcW w:w="753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年级</w:t>
            </w:r>
          </w:p>
        </w:tc>
        <w:tc>
          <w:tcPr>
            <w:tcW w:w="895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高一</w:t>
            </w:r>
          </w:p>
        </w:tc>
      </w:tr>
      <w:tr>
        <w:tblPrEx>
          <w:tblW w:w="9292" w:type="dxa"/>
          <w:jc w:val="center"/>
          <w:tblLayout w:type="fixed"/>
          <w:tblLook w:val="04A0"/>
        </w:tblPrEx>
        <w:trPr>
          <w:trHeight w:val="1160"/>
          <w:jc w:val="center"/>
        </w:trPr>
        <w:tc>
          <w:tcPr>
            <w:tcW w:w="737" w:type="dxa"/>
            <w:vAlign w:val="center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</w:t>
            </w:r>
          </w:p>
        </w:tc>
        <w:tc>
          <w:tcPr>
            <w:tcW w:w="8555" w:type="dxa"/>
            <w:gridSpan w:val="7"/>
          </w:tcPr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了解作者及其生平，把握诗歌的内容。</w:t>
            </w:r>
          </w:p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培养学生把握诗歌情感的能力，提高知人论世的诗歌阅读能力。</w:t>
            </w:r>
            <w:r>
              <w:rPr>
                <w:rFonts w:hint="eastAsia"/>
              </w:rPr>
              <w:t xml:space="preserve"> </w:t>
            </w:r>
          </w:p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学习以意逆志之人密室的诗歌鉴赏方法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W w:w="9292" w:type="dxa"/>
          <w:jc w:val="center"/>
          <w:tblLayout w:type="fixed"/>
          <w:tblLook w:val="04A0"/>
        </w:tblPrEx>
        <w:trPr>
          <w:trHeight w:val="1160"/>
          <w:jc w:val="center"/>
        </w:trPr>
        <w:tc>
          <w:tcPr>
            <w:tcW w:w="737" w:type="dxa"/>
            <w:vAlign w:val="center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</w:t>
            </w:r>
          </w:p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心</w:t>
            </w:r>
          </w:p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</w:t>
            </w:r>
          </w:p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养</w:t>
            </w:r>
          </w:p>
        </w:tc>
        <w:tc>
          <w:tcPr>
            <w:tcW w:w="8555" w:type="dxa"/>
            <w:gridSpan w:val="7"/>
          </w:tcPr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语言建构与运用：结合注释和工具书，理解诗歌，提高阅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读诗歌能力。</w:t>
            </w:r>
          </w:p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思维发展与提升：培养学生知人论世的诗歌阅读能力。</w:t>
            </w:r>
            <w:r>
              <w:rPr>
                <w:rFonts w:hint="eastAsia"/>
              </w:rPr>
              <w:t xml:space="preserve"> </w:t>
            </w:r>
          </w:p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审美鉴赏与创造：反复吟咏，把握诗歌的情感。</w:t>
            </w:r>
          </w:p>
          <w:p w:rsidR="003B62F5">
            <w:pPr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>文化传承与理解：准确把握诗人在作品中表达的思想感情，培养学生热爱生活，乐观豁达的情怀。</w:t>
            </w:r>
          </w:p>
        </w:tc>
      </w:tr>
      <w:tr>
        <w:tblPrEx>
          <w:tblW w:w="9292" w:type="dxa"/>
          <w:jc w:val="center"/>
          <w:tblLayout w:type="fixed"/>
          <w:tblLook w:val="04A0"/>
        </w:tblPrEx>
        <w:trPr>
          <w:trHeight w:val="398"/>
          <w:jc w:val="center"/>
        </w:trPr>
        <w:tc>
          <w:tcPr>
            <w:tcW w:w="737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</w:t>
            </w:r>
          </w:p>
        </w:tc>
        <w:tc>
          <w:tcPr>
            <w:tcW w:w="8555" w:type="dxa"/>
            <w:gridSpan w:val="7"/>
          </w:tcPr>
          <w:p w:rsidR="003B62F5"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了解作者及其生平，掌握诗歌的内容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W w:w="9292" w:type="dxa"/>
          <w:jc w:val="center"/>
          <w:tblLayout w:type="fixed"/>
          <w:tblLook w:val="04A0"/>
        </w:tblPrEx>
        <w:trPr>
          <w:trHeight w:val="398"/>
          <w:jc w:val="center"/>
        </w:trPr>
        <w:tc>
          <w:tcPr>
            <w:tcW w:w="737" w:type="dxa"/>
          </w:tcPr>
          <w:p w:rsidR="003B62F5">
            <w:pPr>
              <w:adjustRightInd w:val="0"/>
              <w:spacing w:line="380" w:lineRule="exac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</w:t>
            </w:r>
          </w:p>
        </w:tc>
        <w:tc>
          <w:tcPr>
            <w:tcW w:w="8555" w:type="dxa"/>
            <w:gridSpan w:val="7"/>
          </w:tcPr>
          <w:p w:rsidR="003B62F5">
            <w:pPr>
              <w:widowControl/>
              <w:adjustRightInd w:val="0"/>
              <w:spacing w:line="380" w:lineRule="exact"/>
              <w:jc w:val="left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培养学生以意逆志，知人论世的阅读能力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3B62F5">
      <w:pPr>
        <w:rPr>
          <w:vanish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5475"/>
        <w:gridCol w:w="1046"/>
        <w:gridCol w:w="1382"/>
      </w:tblGrid>
      <w:tr>
        <w:tblPrEx>
          <w:tblW w:w="928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9287" w:type="dxa"/>
            <w:gridSpan w:val="4"/>
            <w:shd w:val="clear" w:color="auto" w:fill="D9D9D9"/>
          </w:tcPr>
          <w:p w:rsidR="003B62F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教学过程</w:t>
            </w:r>
          </w:p>
        </w:tc>
      </w:tr>
      <w:tr>
        <w:tblPrEx>
          <w:tblW w:w="9287" w:type="dxa"/>
          <w:jc w:val="center"/>
          <w:tblLayout w:type="fixed"/>
          <w:tblLook w:val="04A0"/>
        </w:tblPrEx>
        <w:trPr>
          <w:tblHeader/>
          <w:jc w:val="center"/>
        </w:trPr>
        <w:tc>
          <w:tcPr>
            <w:tcW w:w="1384" w:type="dxa"/>
          </w:tcPr>
          <w:p w:rsidR="003B62F5">
            <w:pPr>
              <w:spacing w:line="360" w:lineRule="auto"/>
              <w:jc w:val="center"/>
            </w:pPr>
            <w:r>
              <w:rPr>
                <w:rFonts w:hint="eastAsia"/>
              </w:rPr>
              <w:t>教学环节</w:t>
            </w:r>
          </w:p>
        </w:tc>
        <w:tc>
          <w:tcPr>
            <w:tcW w:w="5475" w:type="dxa"/>
          </w:tcPr>
          <w:p w:rsidR="003B62F5">
            <w:pPr>
              <w:spacing w:line="360" w:lineRule="auto"/>
              <w:jc w:val="center"/>
            </w:pPr>
            <w:r>
              <w:rPr>
                <w:rFonts w:hint="eastAsia"/>
              </w:rPr>
              <w:t>教师活动</w:t>
            </w:r>
          </w:p>
        </w:tc>
        <w:tc>
          <w:tcPr>
            <w:tcW w:w="1046" w:type="dxa"/>
          </w:tcPr>
          <w:p w:rsidR="003B62F5">
            <w:pPr>
              <w:spacing w:line="360" w:lineRule="auto"/>
              <w:jc w:val="center"/>
            </w:pPr>
            <w:r>
              <w:rPr>
                <w:rFonts w:hint="eastAsia"/>
              </w:rPr>
              <w:t>学生活动</w:t>
            </w:r>
          </w:p>
        </w:tc>
        <w:tc>
          <w:tcPr>
            <w:tcW w:w="1382" w:type="dxa"/>
          </w:tcPr>
          <w:p w:rsidR="003B62F5">
            <w:pPr>
              <w:spacing w:line="360" w:lineRule="auto"/>
              <w:jc w:val="center"/>
            </w:pPr>
            <w:r>
              <w:rPr>
                <w:rFonts w:hint="eastAsia"/>
              </w:rPr>
              <w:t>设计意图</w:t>
            </w:r>
          </w:p>
        </w:tc>
      </w:tr>
      <w:tr>
        <w:tblPrEx>
          <w:tblW w:w="9287" w:type="dxa"/>
          <w:jc w:val="center"/>
          <w:tblLayout w:type="fixed"/>
          <w:tblLook w:val="04A0"/>
        </w:tblPrEx>
        <w:trPr>
          <w:jc w:val="center"/>
        </w:trPr>
        <w:tc>
          <w:tcPr>
            <w:tcW w:w="1384" w:type="dxa"/>
          </w:tcPr>
          <w:p w:rsidR="003B62F5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  <w:sz w:val="28"/>
              </w:rPr>
              <w:t>导入新课</w:t>
            </w:r>
          </w:p>
        </w:tc>
        <w:tc>
          <w:tcPr>
            <w:tcW w:w="5475" w:type="dxa"/>
          </w:tcPr>
          <w:p w:rsidR="003B62F5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  <w:ind w:firstLine="48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古人借用《行路难》这一乐府旧题来写诗，李白并非第一人，在他之前有一位诗人鲍照，今天我们就来学习《拟行路难》。赏析这首作品，从中领悟鲍照对唐代诗歌发展所起的作用。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</w:t>
            </w:r>
          </w:p>
          <w:p w:rsidR="003B62F5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  <w:ind w:firstLine="48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46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在优美的语言中进入情境。</w:t>
            </w:r>
          </w:p>
        </w:tc>
        <w:tc>
          <w:tcPr>
            <w:tcW w:w="1382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创设情境，铺设情感场，在诗意氛围中走进本词。</w:t>
            </w:r>
          </w:p>
        </w:tc>
      </w:tr>
      <w:tr>
        <w:tblPrEx>
          <w:tblW w:w="9287" w:type="dxa"/>
          <w:jc w:val="center"/>
          <w:tblLayout w:type="fixed"/>
          <w:tblLook w:val="04A0"/>
        </w:tblPrEx>
        <w:trPr>
          <w:trHeight w:val="1700"/>
          <w:jc w:val="center"/>
        </w:trPr>
        <w:tc>
          <w:tcPr>
            <w:tcW w:w="1384" w:type="dxa"/>
          </w:tcPr>
          <w:p w:rsidR="003B62F5">
            <w:pPr>
              <w:spacing w:line="360" w:lineRule="auto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讲授新课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b/>
              </w:rPr>
            </w:pPr>
          </w:p>
        </w:tc>
        <w:tc>
          <w:tcPr>
            <w:tcW w:w="5475" w:type="dxa"/>
          </w:tcPr>
          <w:p w:rsidR="003B62F5">
            <w:pPr>
              <w:spacing w:line="360" w:lineRule="auto"/>
            </w:pPr>
            <w:r>
              <w:rPr>
                <w:rFonts w:hint="eastAsia"/>
                <w:b/>
                <w:sz w:val="28"/>
              </w:rPr>
              <w:t>一、文化常识</w:t>
            </w:r>
          </w:p>
          <w:p w:rsidR="003B62F5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作者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鲍照（约</w:t>
            </w:r>
            <w:r>
              <w:rPr>
                <w:rFonts w:hint="eastAsia"/>
              </w:rPr>
              <w:t>415</w:t>
            </w:r>
            <w:r>
              <w:rPr>
                <w:rFonts w:hint="eastAsia"/>
              </w:rPr>
              <w:t>年～</w:t>
            </w:r>
            <w:r>
              <w:rPr>
                <w:rFonts w:hint="eastAsia"/>
              </w:rPr>
              <w:t>470</w:t>
            </w:r>
            <w:r>
              <w:rPr>
                <w:rFonts w:hint="eastAsia"/>
              </w:rPr>
              <w:t>年）南朝宋代文学家，与颜延之、谢灵运合称“元嘉三大家”。字明远。家世贫贱，临海王刘子顼镇荆州时，任前军参军，人称鲍参军。刘子顼作乱，照为乱兵所杀。他长于乐府诗，其七言诗对唐代诗歌的发展起了很重要的作用。有《鲍参军集》。</w:t>
            </w:r>
            <w:r>
              <w:rPr>
                <w:rFonts w:hint="eastAsia"/>
              </w:rPr>
              <w:t xml:space="preserve"> 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鲍照出身寒微，自称“家世贫贱”，是“负锸下农”。二十多岁时，在临川王刘义庆门下，因献诗被赏识，擢为王国侍郎。以后担任过太学博士及县令等低级官职。最后任临海王刘子顼参军，在刘子顼举兵叛乱失败时，死于乱军中。世人因此称他为鲍参军。尽管鲍照“才秀人微，取湮当代”（《诗品》语）。但他的文学作品的价值，却越来</w:t>
            </w:r>
            <w:r>
              <w:rPr>
                <w:rFonts w:hint="eastAsia"/>
              </w:rPr>
              <w:t>越受后人重视，有人甚至认为他是刘宋时代成就最高的作者。</w:t>
            </w:r>
          </w:p>
          <w:p w:rsidR="003B62F5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门阀制度：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门阀制度封建等级制中的一种特殊形式。形成于东汉，魏晋南北朝时盛行。中国古代官宦人家的大门外有两根柱子，左边的称“阀”，右边的叫“阅”，用来张贴功状。后世把世代为官的人家称为阀阅、门阀世族、士族。汉武帝时“独尊儒术”，官僚多以经术起家且他们门生故吏遍天下，形成一股社会力量。其后代承家学而累世为官，到东汉中叶便有了世代官宦的大姓豪族。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南北朝时期，是门阀制度发展的顶峰。大地主，大豪强控制了一个国家的大部分。有时候皇帝也不得不受控于大地主、大豪强。他们在国家的经济、政治都占据着统治地位，这也造成了“上品无寒门，下品无世族”的森严的等级制度。特殊的地位，造成了一大批的奢侈淫逸之徒，这就为门阀制度的没落埋下了种子。隋唐时期：为了巩固国家政权，当政者大力打击门阀士族，为提拔寒门之士，而采用科举制度，科举的兴起，促使了门阀制度的没落。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南北朝时期，是门阀制度发展的顶峰。大地主，大豪强控制了一个国家的大部分。有时候皇帝也不得不受控于大地主、大豪强。他们在国家的经济、政治都占据着统治地位，这也造成了“上品无寒门，下品无世族”的森严的等级制度。特殊的地位，造成了一大批的奢侈淫逸之徒，这就为门阀制度的没落埋下了种子。隋唐时期：为了巩固国家政权，当政者大力打击门阀士族，为提拔寒门之士，而采用科举制度，科举的兴起，促使了门阀制度的没落。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鲍照出身寒微，“身地孤贱”，空有一身才华，郁郁不得志，至多只做过一些小官。他的诗文与谢灵运一样很有影响，居然史书无传。可见鲍照身前身后的寂寞冷清境况。钟嵘为之叹道：“才秀人微，故取湮当代！”（《诗品》）门阀制度像大山一样压在鲍照身上，促使他把无比巨大的</w:t>
            </w:r>
            <w:r>
              <w:rPr>
                <w:rFonts w:hint="eastAsia"/>
              </w:rPr>
              <w:t>愤懑不平之气化作《拟行路难》这样的诗篇。</w:t>
            </w:r>
          </w:p>
          <w:p w:rsidR="003B62F5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知人：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鲍照努力抗争，积极进取，争取机会；一生仕途坎坷，多做小官，怀才不遇。</w:t>
            </w:r>
          </w:p>
          <w:p w:rsidR="003B62F5">
            <w:pPr>
              <w:spacing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论世：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</w:rPr>
              <w:t>门第决定人生走向，门阀制度阻塞了寒士的进仕之路。</w:t>
            </w:r>
            <w:r>
              <w:rPr>
                <w:rFonts w:hint="eastAsia"/>
              </w:rPr>
              <w:cr/>
            </w:r>
            <w:r>
              <w:rPr>
                <w:rFonts w:hint="eastAsia"/>
                <w:b/>
                <w:sz w:val="28"/>
              </w:rPr>
              <w:t>二、听名家朗诵，初读本诗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三、文白对译</w:t>
            </w:r>
          </w:p>
          <w:p w:rsidR="003B62F5">
            <w:pPr>
              <w:spacing w:line="360" w:lineRule="auto"/>
              <w:rPr>
                <w:rFonts w:ascii="宋体" w:hAnsi="宋体" w:cs="宋体"/>
                <w:bCs/>
                <w:color w:val="000000"/>
                <w:kern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24"/>
                <w:szCs w:val="21"/>
              </w:rPr>
              <w:t xml:space="preserve">原文 </w:t>
            </w:r>
          </w:p>
          <w:p w:rsidR="003B62F5">
            <w:pPr>
              <w:spacing w:line="360" w:lineRule="auto"/>
              <w:rPr>
                <w:rFonts w:ascii="宋体" w:hAnsi="宋体" w:cs="宋体"/>
                <w:bCs/>
                <w:color w:val="000000"/>
                <w:kern w:val="24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24"/>
                <w:szCs w:val="21"/>
              </w:rPr>
              <w:t>泻水置平地，各自东西南北流。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译文：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倾倒水于平地,水向四处分流。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原文 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人生亦有命，安能行叹复坐愁！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译文：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人生是既定的，怎么能成天自怨自</w:t>
            </w:r>
            <w:r>
              <w:rPr>
                <w:rFonts w:ascii="宋体" w:hAnsi="宋体" w:hint="eastAsia"/>
                <w:highlight w:val="yellow"/>
              </w:rPr>
              <w:t>艾</w:t>
            </w:r>
            <w:r>
              <w:rPr>
                <w:rFonts w:ascii="宋体" w:hAnsi="宋体" w:hint="eastAsia"/>
              </w:rPr>
              <w:t xml:space="preserve">。 </w:t>
            </w:r>
            <w:r>
              <w:rPr>
                <w:rFonts w:ascii="宋体" w:hAnsi="宋体" w:hint="eastAsia"/>
              </w:rPr>
              <w:br/>
              <w:t xml:space="preserve">原文 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酌酒以自宽，举杯断绝歌路难。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译文：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喝点酒来宽慰自己，歌唱《行路难》。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心非木石岂无感， 吞声踯躅不敢言！</w:t>
            </w:r>
            <w:r>
              <w:rPr>
                <w:rFonts w:ascii="宋体" w:hAnsi="宋体" w:hint="eastAsia"/>
              </w:rPr>
              <w:cr/>
            </w:r>
            <w:r>
              <w:rPr>
                <w:rFonts w:ascii="宋体" w:hAnsi="宋体" w:hint="eastAsia"/>
                <w:b/>
                <w:bCs/>
              </w:rPr>
              <w:t>鉴赏文本：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诵读此诗，结合注释，理解本诗的思想内容。并把握本诗的感情基调。</w:t>
            </w:r>
          </w:p>
          <w:p w:rsidR="003B62F5"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本诗抒发了诗人怀才不遇的愤懑之情。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第一二句用了什么表现手法？说明了什么道理？ 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为什么诗人一开篇就写景呢？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运用了比兴的表现手法。说明了像水是依照高下不同的地势流向各方一样，人的遭际也是被家庭门第的　高低贵贱决定的。</w:t>
            </w:r>
            <w:r>
              <w:rPr>
                <w:rFonts w:ascii="宋体" w:hAnsi="宋体" w:hint="eastAsia"/>
              </w:rPr>
              <w:cr/>
            </w:r>
            <w:r>
              <w:rPr>
                <w:rFonts w:ascii="宋体" w:hAnsi="宋体" w:hint="eastAsia"/>
                <w:b/>
                <w:bCs/>
              </w:rPr>
              <w:t>作者是如何表现这种愁思与愤懑的？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运用的是以“水”喻人的比兴手法，那流向“东西南北”不同方位的“水”，恰好比喻了社会生活中高低贵贱不同处境的人。“水”的流向，是地势造成的；人的处境，是门第决定的。因此说，这起首两句，通过泻水的寻常现象的描写，形象地揭示出了现实社会里门阀制度的不合理性。诗人借水“泻”和“流”的动态描绘，造成了一种令人惊</w:t>
            </w:r>
            <w:r>
              <w:rPr>
                <w:rFonts w:ascii="宋体" w:hAnsi="宋体" w:hint="eastAsia"/>
                <w:highlight w:val="yellow"/>
              </w:rPr>
              <w:t>异</w:t>
            </w:r>
            <w:r>
              <w:rPr>
                <w:rFonts w:ascii="宋体" w:hAnsi="宋体" w:hint="eastAsia"/>
              </w:rPr>
              <w:t>的气势。正如沈德潜所说：“起手万端下，如黄河落天走东海也。”这正曲折地表达了诗人由于激愤不平而一泻无余的心情。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诗歌开头两句用比喻的手法写出了怎样的哲理?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这个比喻是说，像水是依照高下不同的地势流向各方一样，人的遭际是被家庭门第的贵贱决定的。这是古代的血统论。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诗篇起笔陡然，入手便写泻水地面，四方流淌的现象。这既没有波涛万顷的壮阔场面，也不见澄静如练的幽美意境。然而就在这既不神奇又不玄妙的普通自然现象里，诗人却顿悟出了与之相似相通的人间社会的某种哲理。 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第三句中的“命”是指什么？结合全诗看，作者对此有怎样的看法？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从诗歌本身看，作者所说的“命”，就是门第决定人生，有什么样的门第就有什么样的遭遇。作者认为非常不公平，但没法改变，只能发出愤怒的控诉。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体会“安能行叹复坐愁”这个反问句，在表现诗人情感变化过程中所起的作用？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“安能行叹复坐愁”这个反问句，从字面上看，是说人生苦乐 自有命，怎么能成天自怨自</w:t>
            </w:r>
            <w:r>
              <w:rPr>
                <w:rFonts w:ascii="宋体" w:hAnsi="宋体" w:hint="eastAsia"/>
                <w:highlight w:val="yellow"/>
              </w:rPr>
              <w:t>艾</w:t>
            </w:r>
            <w:r>
              <w:rPr>
                <w:rFonts w:ascii="宋体" w:hAnsi="宋体" w:hint="eastAsia"/>
              </w:rPr>
              <w:t>. 应该学会自我宽慰。实际上，语言中蕴涵着不平之气。这个反问句，诗人含者不平，提出不言愁，感情基本上还比较平稳。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第五、六句塑造了一个什么样的形象？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以非常精练的笔法，生动形象地刻画出诗人悲怆难抑的情态。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第七、八句写出了什么感情？ 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第七句是对前面几句的总结，诗人对那驱不散的愁苦，实系于对世事的感慨，心并非无知无觉的木石，理的劝喻，酒的麻醉，都不能使心如槁木，用反问的句式，冲决了自我克制的堤防，使全诗的情感达到了高潮。表达了诗人的抗争。第八句表达的是作者心中的无奈，“岂无敢”越是激昂，“不敢言”的痛苦就越是深沉。两句构成了一种鲜明的对照，将诗人忍辱负重、矛盾痛苦的精神状况表现得淋漓尽致。 </w:t>
            </w:r>
            <w:r>
              <w:rPr>
                <w:rFonts w:ascii="宋体" w:hAnsi="宋体" w:hint="eastAsia"/>
                <w:b/>
                <w:bCs/>
              </w:rPr>
              <w:cr/>
            </w:r>
            <w:r>
              <w:rPr>
                <w:rFonts w:ascii="宋体" w:hAnsi="宋体" w:hint="eastAsia"/>
              </w:rPr>
              <w:t>“心非木石岂无感”一句，是诗人感情的大转折。上文中，以“人生亦有命”来宽慰，以不言愁来消愁，感情还能克制。到借酒浇愁，其结果是愁更愁，情感之流开始奔涌。到“心非木石岂无感”，感情沸腾，在这句达到高潮。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四、合作探究：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诗人从哪些方面写“愁”的？</w:t>
            </w:r>
          </w:p>
          <w:p w:rsidR="003B62F5">
            <w:pPr>
              <w:spacing w:line="360" w:lineRule="auto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从日常坐卧不宁的叹息写愁，通过酌酒消愁，用悲歌为断愁，心里的郁闷不敢言者更添愁。正如沈德潜所说，此诗“妙在不曾说破，读之自然生愁。”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诗人抒发了什么情感？</w:t>
            </w:r>
          </w:p>
          <w:p w:rsidR="003B62F5">
            <w:pPr>
              <w:spacing w:line="360" w:lineRule="auto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全诗通过刻</w:t>
            </w:r>
            <w:r>
              <w:rPr>
                <w:rFonts w:hint="eastAsia"/>
                <w:bCs/>
                <w:sz w:val="28"/>
                <w:highlight w:val="yellow"/>
              </w:rPr>
              <w:t>画</w:t>
            </w:r>
            <w:r>
              <w:rPr>
                <w:rFonts w:hint="eastAsia"/>
                <w:bCs/>
                <w:sz w:val="28"/>
              </w:rPr>
              <w:t>诗人满怀郁结，举杯驱愁却大放悲声，忍辱负重而又悲怆难抑的自我形象，抒发了深沉而又激越奔放的怀才不遇的悲愤之情，表达了对当时门阀制度的不满和愤慨。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诗人怎样抒发的？</w:t>
            </w:r>
          </w:p>
          <w:p w:rsidR="003B62F5">
            <w:pPr>
              <w:spacing w:line="360" w:lineRule="auto"/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 xml:space="preserve"> </w:t>
            </w:r>
            <w:r>
              <w:rPr>
                <w:rFonts w:hint="eastAsia"/>
                <w:bCs/>
                <w:sz w:val="28"/>
              </w:rPr>
              <w:t>比兴</w:t>
            </w:r>
            <w:r>
              <w:rPr>
                <w:rFonts w:hint="eastAsia"/>
                <w:bCs/>
                <w:sz w:val="28"/>
              </w:rPr>
              <w:t xml:space="preserve">    </w:t>
            </w:r>
            <w:r>
              <w:rPr>
                <w:rFonts w:hint="eastAsia"/>
                <w:bCs/>
                <w:sz w:val="28"/>
              </w:rPr>
              <w:t>反问</w:t>
            </w:r>
            <w:r>
              <w:rPr>
                <w:rFonts w:hint="eastAsia"/>
                <w:bCs/>
                <w:sz w:val="28"/>
              </w:rPr>
              <w:t xml:space="preserve">     </w:t>
            </w:r>
            <w:r>
              <w:rPr>
                <w:rFonts w:hint="eastAsia"/>
                <w:bCs/>
                <w:sz w:val="28"/>
              </w:rPr>
              <w:t>动作</w:t>
            </w:r>
            <w:r>
              <w:rPr>
                <w:rFonts w:hint="eastAsia"/>
                <w:bCs/>
                <w:sz w:val="28"/>
              </w:rPr>
              <w:t xml:space="preserve">    </w:t>
            </w:r>
            <w:r>
              <w:rPr>
                <w:rFonts w:hint="eastAsia"/>
                <w:bCs/>
                <w:sz w:val="28"/>
              </w:rPr>
              <w:t>心里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通过这个形象，诗歌逐层抒发了怎样的情感？</w:t>
            </w:r>
          </w:p>
          <w:p w:rsidR="003B62F5">
            <w:pPr>
              <w:spacing w:line="360" w:lineRule="auto"/>
              <w:rPr>
                <w:bCs/>
                <w:sz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3337560" cy="1948180"/>
                  <wp:effectExtent l="0" t="0" r="1524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727925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560" cy="194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2F5">
            <w:pPr>
              <w:numPr>
                <w:ilvl w:val="0"/>
                <w:numId w:val="1"/>
              </w:numPr>
              <w:spacing w:line="360" w:lineRule="auto"/>
              <w:jc w:val="lef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课堂练习</w:t>
            </w:r>
          </w:p>
          <w:p w:rsidR="003B62F5">
            <w:pPr>
              <w:spacing w:line="360" w:lineRule="auto"/>
              <w:ind w:firstLine="1470" w:firstLineChars="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行路难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李白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金樽清酒斗十千，玉盘珍馐直万钱。</w:t>
            </w:r>
            <w:r>
              <w:rPr>
                <w:rFonts w:ascii="宋体" w:hAnsi="宋体" w:hint="eastAsia"/>
              </w:rPr>
              <w:br/>
              <w:t>停杯投箸不能食，拔剑四顾心茫然。</w:t>
            </w:r>
            <w:r>
              <w:rPr>
                <w:rFonts w:ascii="宋体" w:hAnsi="宋体" w:hint="eastAsia"/>
              </w:rPr>
              <w:br/>
              <w:t>欲渡黄河冰塞川，将登太行雪满山。</w:t>
            </w:r>
            <w:r>
              <w:rPr>
                <w:rFonts w:ascii="宋体" w:hAnsi="宋体" w:hint="eastAsia"/>
              </w:rPr>
              <w:br/>
              <w:t>闲来垂钓碧溪上，忽复乘舟梦日边。</w:t>
            </w:r>
            <w:r>
              <w:rPr>
                <w:rFonts w:ascii="宋体" w:hAnsi="宋体" w:hint="eastAsia"/>
              </w:rPr>
              <w:br/>
              <w:t>行路难，行路难，多歧路，今安在？</w:t>
            </w:r>
            <w:r>
              <w:rPr>
                <w:rFonts w:ascii="宋体" w:hAnsi="宋体" w:hint="eastAsia"/>
              </w:rPr>
              <w:br/>
              <w:t>长风破浪会有时，直挂云帆济沧海。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两首诗有哪些相似之处与不同之处？</w:t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noProof/>
              </w:rPr>
              <w:drawing>
                <wp:inline distT="0" distB="0" distL="114300" distR="114300">
                  <wp:extent cx="3338195" cy="1753235"/>
                  <wp:effectExtent l="0" t="0" r="14605" b="18415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004959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195" cy="175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noProof/>
              </w:rPr>
              <w:drawing>
                <wp:inline distT="0" distB="0" distL="114300" distR="114300">
                  <wp:extent cx="3333750" cy="1710055"/>
                  <wp:effectExtent l="0" t="0" r="0" b="4445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725869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171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2F5">
            <w:pPr>
              <w:spacing w:line="36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从语言风格看，都得力于汉乐府的影响。语言质朴，用近乎口语的文字表现深邃的诗意。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六、拓展提高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拟行路难</w:t>
            </w:r>
            <w:r>
              <w:rPr>
                <w:rFonts w:hint="eastAsia"/>
              </w:rPr>
              <w:t xml:space="preserve"> ,</w:t>
            </w:r>
            <w:r>
              <w:rPr>
                <w:rFonts w:hint="eastAsia"/>
              </w:rPr>
              <w:t>为乐府组诗名。南朝宋鲍照作。共十八首。主要抒发对人生艰难的感慨，表达出身寒门的士人在仕途中的坎坷和痛苦。也有描写游子和思妇之作。大多感情强烈，语言遒劲，辞藻华丽。有五言、七言及杂言句。</w:t>
            </w:r>
          </w:p>
          <w:p w:rsidR="003B62F5">
            <w:pPr>
              <w:spacing w:line="360" w:lineRule="auto"/>
              <w:rPr>
                <w:b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七、作业布置</w:t>
            </w:r>
          </w:p>
          <w:p w:rsidR="003B62F5">
            <w:pPr>
              <w:spacing w:line="360" w:lineRule="auto"/>
            </w:pPr>
            <w:r>
              <w:rPr>
                <w:rFonts w:hint="eastAsia"/>
              </w:rPr>
              <w:t>采用以意逆志，知人论世的鉴赏方法，鉴赏鲍照《拟行路难》其六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 </w:t>
            </w:r>
          </w:p>
          <w:p w:rsidR="003B62F5">
            <w:pPr>
              <w:spacing w:line="360" w:lineRule="auto"/>
            </w:pPr>
          </w:p>
        </w:tc>
        <w:tc>
          <w:tcPr>
            <w:tcW w:w="1046" w:type="dxa"/>
          </w:tcPr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学生大声朗读，识记。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学生识记、整理、归纳。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理解作</w:t>
            </w:r>
            <w:r>
              <w:rPr>
                <w:rFonts w:ascii="宋体" w:hAnsi="宋体" w:hint="eastAsia"/>
              </w:rPr>
              <w:t>者的身世、生平。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听录音，初读诗词，整体感知诗词句读。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理解诗词。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以小组为单位鉴赏诗词。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学生深层阅读诗歌，体会作者</w:t>
            </w:r>
            <w:r>
              <w:rPr>
                <w:rFonts w:ascii="宋体" w:hAnsi="宋体" w:hint="eastAsia"/>
              </w:rPr>
              <w:t>气你情感。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归纳总结诗歌</w:t>
            </w:r>
            <w:r>
              <w:rPr>
                <w:rFonts w:ascii="宋体" w:hAnsi="宋体" w:hint="eastAsia"/>
              </w:rPr>
              <w:t>情感，；理解诗人形象。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课上进行自主练习。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拓展</w:t>
            </w:r>
            <w:r>
              <w:rPr>
                <w:rFonts w:hint="eastAsia"/>
              </w:rPr>
              <w:t>拟行路难相关知识</w:t>
            </w:r>
            <w:r>
              <w:rPr>
                <w:rFonts w:ascii="宋体" w:hAnsi="宋体" w:hint="eastAsia"/>
              </w:rPr>
              <w:t>，作为积累。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完成课下作业</w:t>
            </w:r>
          </w:p>
        </w:tc>
        <w:tc>
          <w:tcPr>
            <w:tcW w:w="1382" w:type="dxa"/>
          </w:tcPr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夯实基础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了解关于鲍照、门阀制度的相关文学的常识。积累。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知人论世，有</w:t>
            </w:r>
            <w:r>
              <w:rPr>
                <w:rFonts w:ascii="宋体" w:hAnsi="宋体" w:hint="eastAsia"/>
              </w:rPr>
              <w:t>利于深刻理解作品内容及作家情感。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把握诗词的音韵节奏，有利于正确理解本词，达到诵读诗词，理解词义的目的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在文白对照中整体理解本诗。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理解诗歌具体内容。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在欣赏中鉴赏，在鉴赏中赏析文本。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提高学生的归纳总结能</w:t>
            </w:r>
            <w:r>
              <w:rPr>
                <w:rFonts w:ascii="宋体" w:hAnsi="宋体" w:hint="eastAsia"/>
              </w:rPr>
              <w:t>力。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检测本节课所学知识。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在课程学习中拓展知识面。</w:t>
            </w: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</w:p>
          <w:p w:rsidR="003B62F5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运用本节课所学的鉴赏方法，理解鲍照的其他作品，从而提高学生的鉴赏能力。</w:t>
            </w:r>
          </w:p>
        </w:tc>
      </w:tr>
      <w:tr>
        <w:tblPrEx>
          <w:tblW w:w="9287" w:type="dxa"/>
          <w:jc w:val="center"/>
          <w:tblLayout w:type="fixed"/>
          <w:tblLook w:val="04A0"/>
        </w:tblPrEx>
        <w:trPr>
          <w:jc w:val="center"/>
        </w:trPr>
        <w:tc>
          <w:tcPr>
            <w:tcW w:w="1384" w:type="dxa"/>
          </w:tcPr>
          <w:p w:rsidR="003B62F5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  <w:sz w:val="28"/>
              </w:rPr>
              <w:t>课堂小结</w:t>
            </w:r>
          </w:p>
        </w:tc>
        <w:tc>
          <w:tcPr>
            <w:tcW w:w="5475" w:type="dxa"/>
          </w:tcPr>
          <w:p w:rsidR="003B62F5">
            <w:pPr>
              <w:spacing w:line="360" w:lineRule="auto"/>
              <w:ind w:firstLine="420" w:firstLineChars="200"/>
            </w:pPr>
            <w:r>
              <w:rPr>
                <w:rFonts w:hint="eastAsia"/>
              </w:rPr>
              <w:t>借助于联系作者的生平和时代来更好的阅读，鉴赏诗歌。把握主旨的方法，即所谓知人论世，通过这种方法，我们可以更好地去把握作者的情感，更好的理解产生这种情感的原因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046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学生说出自己的收获和体验。</w:t>
            </w:r>
          </w:p>
        </w:tc>
        <w:tc>
          <w:tcPr>
            <w:tcW w:w="1382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这是对本节课知识的回顾与总结。</w:t>
            </w:r>
          </w:p>
        </w:tc>
      </w:tr>
      <w:tr>
        <w:tblPrEx>
          <w:tblW w:w="9287" w:type="dxa"/>
          <w:jc w:val="center"/>
          <w:tblLayout w:type="fixed"/>
          <w:tblLook w:val="04A0"/>
        </w:tblPrEx>
        <w:trPr>
          <w:jc w:val="center"/>
        </w:trPr>
        <w:tc>
          <w:tcPr>
            <w:tcW w:w="1384" w:type="dxa"/>
          </w:tcPr>
          <w:p w:rsidR="003B62F5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  <w:sz w:val="28"/>
              </w:rPr>
              <w:t>板书</w:t>
            </w:r>
          </w:p>
        </w:tc>
        <w:tc>
          <w:tcPr>
            <w:tcW w:w="5475" w:type="dxa"/>
          </w:tcPr>
          <w:p w:rsidR="003B62F5">
            <w:pPr>
              <w:spacing w:line="360" w:lineRule="auto"/>
              <w:ind w:firstLine="1680" w:firstLineChars="800"/>
            </w:pPr>
            <w:r>
              <w:rPr>
                <w:rFonts w:hint="eastAsia"/>
              </w:rPr>
              <w:t>拟行路难</w:t>
            </w:r>
          </w:p>
          <w:p w:rsidR="003B62F5">
            <w:pPr>
              <w:spacing w:line="360" w:lineRule="auto"/>
              <w:ind w:left="945" w:firstLine="1260" w:firstLineChars="600"/>
            </w:pPr>
            <w:r>
              <w:rPr>
                <w:rFonts w:hint="eastAsia"/>
              </w:rPr>
              <w:t>鲍照</w:t>
            </w:r>
          </w:p>
          <w:p w:rsidR="003B62F5">
            <w:pPr>
              <w:spacing w:line="360" w:lineRule="auto"/>
              <w:ind w:left="945"/>
            </w:pPr>
            <w:r>
              <w:rPr>
                <w:rFonts w:hint="eastAsia"/>
              </w:rPr>
              <w:t>认命——不认命——认命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sz w:val="28"/>
                <w:szCs w:val="28"/>
              </w:rPr>
              <w:t>愁</w:t>
            </w:r>
          </w:p>
          <w:p w:rsidR="003B62F5">
            <w:pPr>
              <w:spacing w:line="360" w:lineRule="auto"/>
              <w:ind w:left="945"/>
            </w:pPr>
            <w:r>
              <w:rPr>
                <w:rFonts w:hint="eastAsia"/>
              </w:rPr>
              <w:t>抨击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悲愤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无奈</w:t>
            </w:r>
          </w:p>
        </w:tc>
        <w:tc>
          <w:tcPr>
            <w:tcW w:w="1046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概括本节课重要知识点。</w:t>
            </w:r>
          </w:p>
        </w:tc>
        <w:tc>
          <w:tcPr>
            <w:tcW w:w="1382" w:type="dxa"/>
          </w:tcPr>
          <w:p w:rsidR="003B62F5">
            <w:pPr>
              <w:spacing w:line="360" w:lineRule="auto"/>
            </w:pPr>
            <w:r>
              <w:rPr>
                <w:rFonts w:hint="eastAsia"/>
              </w:rPr>
              <w:t>在教学过程中逐步生成板书，这是本节课教学内容的高度浓缩。</w:t>
            </w:r>
          </w:p>
        </w:tc>
      </w:tr>
    </w:tbl>
    <w:p w:rsidR="003B62F5">
      <w: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878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62F5">
      <w:pPr>
        <w:spacing w:line="360" w:lineRule="auto"/>
      </w:pPr>
      <w:bookmarkStart w:id="0" w:name="_GoBack"/>
      <w:bookmarkEnd w:id="0"/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372" w:bottom="851" w:left="1372" w:header="340" w:footer="283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 ! important">
    <w:altName w:val="宋体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62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62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3DA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62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62F5">
    <w:pPr>
      <w:pStyle w:val="Header"/>
      <w:pBdr>
        <w:bottom w:val="single" w:sz="6" w:space="0" w:color="auto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62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36B98C"/>
    <w:multiLevelType w:val="singleLevel"/>
    <w:tmpl w:val="C536B98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3CA9"/>
    <w:rsid w:val="00044427"/>
    <w:rsid w:val="00066E49"/>
    <w:rsid w:val="000A38C4"/>
    <w:rsid w:val="000C77BD"/>
    <w:rsid w:val="000D4AFC"/>
    <w:rsid w:val="000E42ED"/>
    <w:rsid w:val="000F5D7E"/>
    <w:rsid w:val="000F6968"/>
    <w:rsid w:val="001041F4"/>
    <w:rsid w:val="00116D57"/>
    <w:rsid w:val="0011765D"/>
    <w:rsid w:val="001668BA"/>
    <w:rsid w:val="00172A27"/>
    <w:rsid w:val="001D2343"/>
    <w:rsid w:val="00213304"/>
    <w:rsid w:val="00222E7F"/>
    <w:rsid w:val="00235FE1"/>
    <w:rsid w:val="00280C20"/>
    <w:rsid w:val="0028469A"/>
    <w:rsid w:val="00295DFA"/>
    <w:rsid w:val="002A29CB"/>
    <w:rsid w:val="002E0BF6"/>
    <w:rsid w:val="002F436D"/>
    <w:rsid w:val="00320C2F"/>
    <w:rsid w:val="00341E9E"/>
    <w:rsid w:val="00363680"/>
    <w:rsid w:val="003A01AF"/>
    <w:rsid w:val="003A6638"/>
    <w:rsid w:val="003B62F5"/>
    <w:rsid w:val="003C1BDA"/>
    <w:rsid w:val="003C4BE8"/>
    <w:rsid w:val="003E07BA"/>
    <w:rsid w:val="003E0A23"/>
    <w:rsid w:val="003F0629"/>
    <w:rsid w:val="003F2038"/>
    <w:rsid w:val="00417970"/>
    <w:rsid w:val="00444E43"/>
    <w:rsid w:val="004647EA"/>
    <w:rsid w:val="00492C91"/>
    <w:rsid w:val="0051323C"/>
    <w:rsid w:val="005233B6"/>
    <w:rsid w:val="00536B8E"/>
    <w:rsid w:val="00540524"/>
    <w:rsid w:val="00556218"/>
    <w:rsid w:val="00557D57"/>
    <w:rsid w:val="00560447"/>
    <w:rsid w:val="00581307"/>
    <w:rsid w:val="00584F55"/>
    <w:rsid w:val="0059346C"/>
    <w:rsid w:val="005A5BB2"/>
    <w:rsid w:val="005C3C33"/>
    <w:rsid w:val="005D355B"/>
    <w:rsid w:val="006357B0"/>
    <w:rsid w:val="0066130D"/>
    <w:rsid w:val="006819B9"/>
    <w:rsid w:val="00696925"/>
    <w:rsid w:val="006A63C1"/>
    <w:rsid w:val="006C1AC8"/>
    <w:rsid w:val="006E2D02"/>
    <w:rsid w:val="006E45E1"/>
    <w:rsid w:val="00723C13"/>
    <w:rsid w:val="00750E8C"/>
    <w:rsid w:val="007574A2"/>
    <w:rsid w:val="007664DD"/>
    <w:rsid w:val="007D3557"/>
    <w:rsid w:val="007D4AFD"/>
    <w:rsid w:val="007E0878"/>
    <w:rsid w:val="007F0E4B"/>
    <w:rsid w:val="00824711"/>
    <w:rsid w:val="0083057D"/>
    <w:rsid w:val="00832E78"/>
    <w:rsid w:val="00854C7D"/>
    <w:rsid w:val="00896A0D"/>
    <w:rsid w:val="008A4D51"/>
    <w:rsid w:val="008D61BE"/>
    <w:rsid w:val="008D6E7C"/>
    <w:rsid w:val="008E09E5"/>
    <w:rsid w:val="008F59DD"/>
    <w:rsid w:val="00900FE2"/>
    <w:rsid w:val="00933A08"/>
    <w:rsid w:val="00944A48"/>
    <w:rsid w:val="0094583F"/>
    <w:rsid w:val="00962E56"/>
    <w:rsid w:val="00972FEE"/>
    <w:rsid w:val="009A1371"/>
    <w:rsid w:val="009C3C84"/>
    <w:rsid w:val="009C739F"/>
    <w:rsid w:val="009E473C"/>
    <w:rsid w:val="00A3072A"/>
    <w:rsid w:val="00A43DA5"/>
    <w:rsid w:val="00A43FBA"/>
    <w:rsid w:val="00A53DD5"/>
    <w:rsid w:val="00A73B8D"/>
    <w:rsid w:val="00A802D9"/>
    <w:rsid w:val="00A8460F"/>
    <w:rsid w:val="00AD1F39"/>
    <w:rsid w:val="00AF34B7"/>
    <w:rsid w:val="00B17F14"/>
    <w:rsid w:val="00B56279"/>
    <w:rsid w:val="00B6274C"/>
    <w:rsid w:val="00BA2781"/>
    <w:rsid w:val="00BD0009"/>
    <w:rsid w:val="00BE6258"/>
    <w:rsid w:val="00BF364E"/>
    <w:rsid w:val="00C13592"/>
    <w:rsid w:val="00C26BAE"/>
    <w:rsid w:val="00C26F30"/>
    <w:rsid w:val="00C329F3"/>
    <w:rsid w:val="00C7036A"/>
    <w:rsid w:val="00C7132F"/>
    <w:rsid w:val="00C9264D"/>
    <w:rsid w:val="00CB531C"/>
    <w:rsid w:val="00CB5D8B"/>
    <w:rsid w:val="00CE748C"/>
    <w:rsid w:val="00CF3B01"/>
    <w:rsid w:val="00CF592E"/>
    <w:rsid w:val="00D342BE"/>
    <w:rsid w:val="00D43D4B"/>
    <w:rsid w:val="00D83942"/>
    <w:rsid w:val="00DC198E"/>
    <w:rsid w:val="00DC643C"/>
    <w:rsid w:val="00DD5F3B"/>
    <w:rsid w:val="00DE5FE9"/>
    <w:rsid w:val="00DF3A5F"/>
    <w:rsid w:val="00DF4055"/>
    <w:rsid w:val="00E07243"/>
    <w:rsid w:val="00E4515C"/>
    <w:rsid w:val="00E458DA"/>
    <w:rsid w:val="00E553C0"/>
    <w:rsid w:val="00EA2D2A"/>
    <w:rsid w:val="00EA67B2"/>
    <w:rsid w:val="00ED1D1F"/>
    <w:rsid w:val="00ED538B"/>
    <w:rsid w:val="00EE08B2"/>
    <w:rsid w:val="00EE223C"/>
    <w:rsid w:val="00EE58E7"/>
    <w:rsid w:val="00EF673D"/>
    <w:rsid w:val="00F01D16"/>
    <w:rsid w:val="00F10130"/>
    <w:rsid w:val="00F13EC3"/>
    <w:rsid w:val="00F160D6"/>
    <w:rsid w:val="00F36706"/>
    <w:rsid w:val="00F53D81"/>
    <w:rsid w:val="00F53E4A"/>
    <w:rsid w:val="00F70BCA"/>
    <w:rsid w:val="00FB2C25"/>
    <w:rsid w:val="00FD7519"/>
    <w:rsid w:val="00FF568E"/>
    <w:rsid w:val="00FF6B20"/>
    <w:rsid w:val="0853450E"/>
    <w:rsid w:val="09754156"/>
    <w:rsid w:val="13DF0040"/>
    <w:rsid w:val="14EF3AD1"/>
    <w:rsid w:val="166B3025"/>
    <w:rsid w:val="178E3355"/>
    <w:rsid w:val="17E666CF"/>
    <w:rsid w:val="18F325D1"/>
    <w:rsid w:val="18F3326E"/>
    <w:rsid w:val="1A2679B1"/>
    <w:rsid w:val="1CD27FA7"/>
    <w:rsid w:val="1F987E90"/>
    <w:rsid w:val="200E7599"/>
    <w:rsid w:val="205C0FF6"/>
    <w:rsid w:val="21CC6966"/>
    <w:rsid w:val="23E3022F"/>
    <w:rsid w:val="255C648D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A456C72"/>
    <w:rsid w:val="3D9E0D97"/>
    <w:rsid w:val="40A57674"/>
    <w:rsid w:val="40C829B2"/>
    <w:rsid w:val="40F02370"/>
    <w:rsid w:val="41C07D44"/>
    <w:rsid w:val="44187E5C"/>
    <w:rsid w:val="44D37FF2"/>
    <w:rsid w:val="47C65622"/>
    <w:rsid w:val="4E2D3327"/>
    <w:rsid w:val="4EBC3A55"/>
    <w:rsid w:val="4F107989"/>
    <w:rsid w:val="51A20AAB"/>
    <w:rsid w:val="55061E47"/>
    <w:rsid w:val="55697713"/>
    <w:rsid w:val="56F37F4E"/>
    <w:rsid w:val="595C6E91"/>
    <w:rsid w:val="59806726"/>
    <w:rsid w:val="5A6662DC"/>
    <w:rsid w:val="5BA707A0"/>
    <w:rsid w:val="5C98207A"/>
    <w:rsid w:val="5CA329A7"/>
    <w:rsid w:val="5DB64E63"/>
    <w:rsid w:val="5DC540C3"/>
    <w:rsid w:val="5FC73E73"/>
    <w:rsid w:val="60A9745C"/>
    <w:rsid w:val="60C26BA5"/>
    <w:rsid w:val="62EA7823"/>
    <w:rsid w:val="646472A8"/>
    <w:rsid w:val="658E1F0C"/>
    <w:rsid w:val="65CC109B"/>
    <w:rsid w:val="67284585"/>
    <w:rsid w:val="6CAB0933"/>
    <w:rsid w:val="6EF01310"/>
    <w:rsid w:val="6F732B72"/>
    <w:rsid w:val="6F8B6FAD"/>
    <w:rsid w:val="72305095"/>
    <w:rsid w:val="731E1070"/>
    <w:rsid w:val="73FF342A"/>
    <w:rsid w:val="74C47B8A"/>
    <w:rsid w:val="7B355A01"/>
    <w:rsid w:val="7DF01D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Pr>
      <w:color w:val="954F72"/>
      <w:u w:val="single"/>
    </w:rPr>
  </w:style>
  <w:style w:type="character" w:styleId="Emphasis">
    <w:name w:val="Emphasis"/>
    <w:qFormat/>
    <w:rPr>
      <w:color w:val="FF0000"/>
    </w:rPr>
  </w:style>
  <w:style w:type="character" w:styleId="Hyperlink">
    <w:name w:val="Hyperlink"/>
    <w:qFormat/>
    <w:rPr>
      <w:color w:val="2583AD"/>
      <w:u w:val="none"/>
    </w:rPr>
  </w:style>
  <w:style w:type="character" w:customStyle="1" w:styleId="info">
    <w:name w:val="info"/>
    <w:qFormat/>
    <w:rPr>
      <w:color w:val="555555"/>
    </w:rPr>
  </w:style>
  <w:style w:type="character" w:customStyle="1" w:styleId="ds-reads-app-special">
    <w:name w:val="ds-reads-app-special"/>
    <w:qFormat/>
    <w:rPr>
      <w:color w:val="FFFFFF"/>
      <w:shd w:val="clear" w:color="auto" w:fill="F94A47"/>
    </w:rPr>
  </w:style>
  <w:style w:type="character" w:customStyle="1" w:styleId="bdsnopic1">
    <w:name w:val="bds_nopic1"/>
    <w:qFormat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fr">
    <w:name w:val="fr"/>
    <w:basedOn w:val="DefaultParagraphFont"/>
  </w:style>
  <w:style w:type="character" w:customStyle="1" w:styleId="ds-reads-from">
    <w:name w:val="ds-reads-from"/>
    <w:basedOn w:val="DefaultParagraphFont"/>
  </w:style>
  <w:style w:type="character" w:customStyle="1" w:styleId="bdsmore4">
    <w:name w:val="bds_more4"/>
    <w:basedOn w:val="DefaultParagraphFont"/>
  </w:style>
  <w:style w:type="character" w:customStyle="1" w:styleId="bdsnopic">
    <w:name w:val="bds_nopic"/>
    <w:basedOn w:val="DefaultParagraphFont"/>
  </w:style>
  <w:style w:type="character" w:customStyle="1" w:styleId="fr1">
    <w:name w:val="fr1"/>
    <w:basedOn w:val="DefaultParagraphFont"/>
  </w:style>
  <w:style w:type="character" w:customStyle="1" w:styleId="Char">
    <w:name w:val="页脚 Char"/>
    <w:link w:val="Foot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bdsnopic2">
    <w:name w:val="bds_nopic2"/>
    <w:qFormat/>
    <w:rPr>
      <w:rFonts w:ascii="宋体 ! important" w:eastAsia="宋体 ! important" w:hAnsi="宋体 ! important" w:cs="宋体 ! important" w:hint="default"/>
      <w:color w:val="454545"/>
      <w:sz w:val="18"/>
      <w:szCs w:val="18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character" w:customStyle="1" w:styleId="ds-unread-count">
    <w:name w:val="ds-unread-count"/>
    <w:rPr>
      <w:b/>
      <w:color w:val="EE3322"/>
    </w:rPr>
  </w:style>
  <w:style w:type="character" w:customStyle="1" w:styleId="bdsmore3">
    <w:name w:val="bds_more3"/>
    <w:basedOn w:val="DefaultParagraphFont"/>
  </w:style>
  <w:style w:type="character" w:customStyle="1" w:styleId="bdsmore2">
    <w:name w:val="bds_more2"/>
    <w:rPr>
      <w:rFonts w:ascii="宋体" w:eastAsia="宋体" w:hAnsi="宋体" w:cs="宋体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AOC</cp:lastModifiedBy>
  <cp:revision>6</cp:revision>
  <cp:lastPrinted>2017-03-02T09:34:00Z</cp:lastPrinted>
  <dcterms:created xsi:type="dcterms:W3CDTF">2020-12-30T09:22:00Z</dcterms:created>
  <dcterms:modified xsi:type="dcterms:W3CDTF">2021-02-27T14:05:00Z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